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2"/>
        </w:rPr>
      </w:pPr>
    </w:p>
    <w:p>
      <w:pPr>
        <w:pStyle w:val="BodyText"/>
        <w:spacing w:line="276" w:lineRule="auto" w:before="100"/>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2"/>
      </w:pPr>
      <w:r>
        <w:rPr/>
        <w:t>Convocatoria OPD/CMD/063</w:t>
      </w:r>
    </w:p>
    <w:p>
      <w:pPr>
        <w:spacing w:before="120"/>
        <w:ind w:left="816" w:right="558" w:firstLine="0"/>
        <w:jc w:val="center"/>
        <w:rPr>
          <w:b/>
          <w:sz w:val="24"/>
        </w:rPr>
      </w:pPr>
      <w:r>
        <w:rPr>
          <w:b/>
          <w:sz w:val="24"/>
        </w:rPr>
        <w:t>“</w:t>
      </w:r>
      <w:r>
        <w:rPr>
          <w:b/>
          <w:sz w:val="20"/>
        </w:rPr>
        <w:t>SERVICIO DE ALQUILER DE TORRES DE ILUMINACIÓN PARA LA VI EDICIÓN DEL MEDIO MARATON TLAJOMULCO MAZAPAN DE LA ROSA 2019</w:t>
      </w:r>
      <w:r>
        <w:rPr>
          <w:b/>
          <w:sz w:val="24"/>
        </w:rPr>
        <w:t>”</w:t>
      </w:r>
    </w:p>
    <w:p>
      <w:pPr>
        <w:pStyle w:val="BodyText"/>
        <w:spacing w:before="7"/>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7" w:hRule="atLeast"/>
        </w:trPr>
        <w:tc>
          <w:tcPr>
            <w:tcW w:w="4563" w:type="dxa"/>
          </w:tcPr>
          <w:p>
            <w:pPr>
              <w:pStyle w:val="TableParagraph"/>
              <w:spacing w:line="208" w:lineRule="exact"/>
              <w:ind w:left="105"/>
              <w:rPr>
                <w:rFonts w:ascii="Microsoft Tai Le" w:hAnsi="Microsoft Tai Le"/>
                <w:sz w:val="18"/>
              </w:rPr>
            </w:pPr>
            <w:r>
              <w:rPr>
                <w:rFonts w:ascii="Microsoft Tai Le" w:hAnsi="Microsoft Tai Le"/>
                <w:sz w:val="18"/>
              </w:rPr>
              <w:t>Fecha Publicación</w:t>
            </w:r>
          </w:p>
        </w:tc>
        <w:tc>
          <w:tcPr>
            <w:tcW w:w="4935" w:type="dxa"/>
          </w:tcPr>
          <w:p>
            <w:pPr>
              <w:pStyle w:val="TableParagraph"/>
              <w:spacing w:line="208" w:lineRule="exact"/>
              <w:ind w:left="105"/>
              <w:rPr>
                <w:rFonts w:ascii="Microsoft Tai Le"/>
                <w:sz w:val="18"/>
              </w:rPr>
            </w:pPr>
            <w:r>
              <w:rPr>
                <w:rFonts w:ascii="Microsoft Tai Le"/>
                <w:sz w:val="18"/>
              </w:rPr>
              <w:t>20 de Agosto de 2019</w:t>
            </w:r>
          </w:p>
        </w:tc>
      </w:tr>
      <w:tr>
        <w:trPr>
          <w:trHeight w:val="458" w:hRule="atLeast"/>
        </w:trPr>
        <w:tc>
          <w:tcPr>
            <w:tcW w:w="4563" w:type="dxa"/>
          </w:tcPr>
          <w:p>
            <w:pPr>
              <w:pStyle w:val="TableParagraph"/>
              <w:spacing w:before="113"/>
              <w:ind w:left="105"/>
              <w:rPr>
                <w:rFonts w:ascii="Microsoft Tai Le"/>
                <w:sz w:val="18"/>
              </w:rPr>
            </w:pPr>
            <w:r>
              <w:rPr>
                <w:rFonts w:ascii="Microsoft Tai Le"/>
                <w:sz w:val="18"/>
              </w:rPr>
              <w:t>Aclaraciones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Al teléfono 01 (33) 32 83 44 00 Ext. 3260</w:t>
            </w:r>
          </w:p>
          <w:p>
            <w:pPr>
              <w:pStyle w:val="TableParagraph"/>
              <w:spacing w:line="209" w:lineRule="exact" w:before="1"/>
              <w:ind w:left="105"/>
              <w:rPr>
                <w:rFonts w:ascii="Microsoft Tai Le"/>
                <w:sz w:val="18"/>
              </w:rPr>
            </w:pPr>
            <w:r>
              <w:rPr>
                <w:rFonts w:ascii="Microsoft Tai Le"/>
                <w:sz w:val="18"/>
              </w:rPr>
              <w:t>Oficinas COMUDE Tlajomulco.</w:t>
            </w:r>
          </w:p>
        </w:tc>
      </w:tr>
      <w:tr>
        <w:trPr>
          <w:trHeight w:val="458"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28 de Agosto de 2019 13:00 Oficinas de Contraloría</w:t>
            </w:r>
          </w:p>
          <w:p>
            <w:pPr>
              <w:pStyle w:val="TableParagraph"/>
              <w:spacing w:line="211" w:lineRule="exact"/>
              <w:ind w:left="105"/>
              <w:rPr>
                <w:rFonts w:ascii="Microsoft Tai Le"/>
                <w:sz w:val="18"/>
              </w:rPr>
            </w:pPr>
            <w:r>
              <w:rPr>
                <w:rFonts w:ascii="Microsoft Tai Le"/>
                <w:sz w:val="18"/>
              </w:rPr>
              <w:t>Tlajomulco.</w:t>
            </w:r>
          </w:p>
        </w:tc>
      </w:tr>
      <w:tr>
        <w:trPr>
          <w:trHeight w:val="457" w:hRule="atLeast"/>
        </w:trPr>
        <w:tc>
          <w:tcPr>
            <w:tcW w:w="4563" w:type="dxa"/>
          </w:tcPr>
          <w:p>
            <w:pPr>
              <w:pStyle w:val="TableParagraph"/>
              <w:spacing w:line="227" w:lineRule="exact"/>
              <w:ind w:left="105"/>
              <w:rPr>
                <w:rFonts w:ascii="Microsoft Tai Le"/>
                <w:sz w:val="18"/>
              </w:rPr>
            </w:pPr>
            <w:r>
              <w:rPr>
                <w:rFonts w:ascii="Microsoft Tai Le"/>
                <w:sz w:val="18"/>
              </w:rPr>
              <w:t>Apertura de propuestas Se invita a los licitantes a</w:t>
            </w:r>
          </w:p>
          <w:p>
            <w:pPr>
              <w:pStyle w:val="TableParagraph"/>
              <w:spacing w:line="211" w:lineRule="exact"/>
              <w:ind w:left="105"/>
              <w:rPr>
                <w:rFonts w:ascii="Microsoft Tai Le"/>
                <w:sz w:val="18"/>
              </w:rPr>
            </w:pPr>
            <w:r>
              <w:rPr>
                <w:rFonts w:ascii="Microsoft Tai Le"/>
                <w:sz w:val="18"/>
              </w:rPr>
              <w:t>participar en el evento</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28 de Agosto de 2019 13:00 Oficinas de Contraloría</w:t>
            </w:r>
          </w:p>
          <w:p>
            <w:pPr>
              <w:pStyle w:val="TableParagraph"/>
              <w:spacing w:line="211" w:lineRule="exact"/>
              <w:ind w:left="122"/>
              <w:rPr>
                <w:rFonts w:ascii="Microsoft Tai Le"/>
                <w:sz w:val="18"/>
              </w:rPr>
            </w:pPr>
            <w:r>
              <w:rPr>
                <w:rFonts w:ascii="Microsoft Tai Le"/>
                <w:sz w:val="18"/>
              </w:rPr>
              <w:t>Tlajomulco.</w:t>
            </w:r>
          </w:p>
        </w:tc>
      </w:tr>
      <w:tr>
        <w:trPr>
          <w:trHeight w:val="457"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Desde la fecha de apertura de propuestas o hasta 20 días</w:t>
            </w:r>
          </w:p>
          <w:p>
            <w:pPr>
              <w:pStyle w:val="TableParagraph"/>
              <w:spacing w:line="211" w:lineRule="exact"/>
              <w:ind w:left="105"/>
              <w:rPr>
                <w:rFonts w:ascii="Microsoft Tai Le"/>
                <w:sz w:val="18"/>
              </w:rPr>
            </w:pPr>
            <w:r>
              <w:rPr>
                <w:rFonts w:ascii="Microsoft Tai Le"/>
                <w:sz w:val="18"/>
              </w:rPr>
              <w:t>posteriores.</w:t>
            </w:r>
          </w:p>
        </w:tc>
      </w:tr>
    </w:tbl>
    <w:p>
      <w:pPr>
        <w:pStyle w:val="BodyText"/>
        <w:spacing w:before="7"/>
        <w:ind w:left="0"/>
        <w:jc w:val="left"/>
        <w:rPr>
          <w:b/>
          <w:sz w:val="22"/>
        </w:rPr>
      </w:pPr>
    </w:p>
    <w:p>
      <w:pPr>
        <w:pStyle w:val="Heading1"/>
        <w:ind w:right="558"/>
      </w:pPr>
      <w:r>
        <w:rPr/>
        <w:t>Contenido</w:t>
      </w:r>
    </w:p>
    <w:p>
      <w:pPr>
        <w:pStyle w:val="BodyText"/>
        <w:spacing w:before="12"/>
        <w:ind w:left="0"/>
        <w:jc w:val="left"/>
        <w:rPr>
          <w:b/>
          <w:sz w:val="1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0" w:hRule="atLeast"/>
        </w:trPr>
        <w:tc>
          <w:tcPr>
            <w:tcW w:w="749" w:type="dxa"/>
            <w:shd w:val="clear" w:color="auto" w:fill="E4E4E4"/>
          </w:tcPr>
          <w:p>
            <w:pPr>
              <w:pStyle w:val="TableParagraph"/>
              <w:spacing w:before="34"/>
              <w:ind w:right="59"/>
              <w:jc w:val="right"/>
              <w:rPr>
                <w:rFonts w:ascii="Microsoft Tai Le"/>
                <w:b/>
                <w:sz w:val="18"/>
              </w:rPr>
            </w:pPr>
            <w:r>
              <w:rPr>
                <w:rFonts w:ascii="Microsoft Tai Le"/>
                <w:b/>
                <w:sz w:val="18"/>
              </w:rPr>
              <w:t>Partida</w:t>
            </w:r>
          </w:p>
        </w:tc>
        <w:tc>
          <w:tcPr>
            <w:tcW w:w="6832" w:type="dxa"/>
            <w:shd w:val="clear" w:color="auto" w:fill="E4E4E4"/>
          </w:tcPr>
          <w:p>
            <w:pPr>
              <w:pStyle w:val="TableParagraph"/>
              <w:spacing w:before="34"/>
              <w:ind w:left="247" w:right="241"/>
              <w:jc w:val="center"/>
              <w:rPr>
                <w:rFonts w:ascii="Microsoft Tai Le" w:hAnsi="Microsoft Tai Le"/>
                <w:b/>
                <w:sz w:val="18"/>
              </w:rPr>
            </w:pPr>
            <w:r>
              <w:rPr>
                <w:rFonts w:ascii="Microsoft Tai Le" w:hAnsi="Microsoft Tai Le"/>
                <w:b/>
                <w:sz w:val="18"/>
              </w:rPr>
              <w:t>Descripción</w:t>
            </w:r>
          </w:p>
        </w:tc>
        <w:tc>
          <w:tcPr>
            <w:tcW w:w="966" w:type="dxa"/>
            <w:shd w:val="clear" w:color="auto" w:fill="E4E4E4"/>
          </w:tcPr>
          <w:p>
            <w:pPr>
              <w:pStyle w:val="TableParagraph"/>
              <w:spacing w:before="34"/>
              <w:ind w:left="189" w:right="183"/>
              <w:jc w:val="center"/>
              <w:rPr>
                <w:rFonts w:ascii="Microsoft Tai Le"/>
                <w:b/>
                <w:sz w:val="18"/>
              </w:rPr>
            </w:pPr>
            <w:r>
              <w:rPr>
                <w:rFonts w:ascii="Microsoft Tai Le"/>
                <w:b/>
                <w:sz w:val="18"/>
              </w:rPr>
              <w:t>UM</w:t>
            </w:r>
          </w:p>
        </w:tc>
        <w:tc>
          <w:tcPr>
            <w:tcW w:w="901" w:type="dxa"/>
            <w:shd w:val="clear" w:color="auto" w:fill="E4E4E4"/>
          </w:tcPr>
          <w:p>
            <w:pPr>
              <w:pStyle w:val="TableParagraph"/>
              <w:spacing w:before="34"/>
              <w:ind w:left="46" w:right="45"/>
              <w:jc w:val="center"/>
              <w:rPr>
                <w:rFonts w:ascii="Microsoft Tai Le"/>
                <w:b/>
                <w:sz w:val="18"/>
              </w:rPr>
            </w:pPr>
            <w:r>
              <w:rPr>
                <w:rFonts w:ascii="Microsoft Tai Le"/>
                <w:b/>
                <w:sz w:val="18"/>
              </w:rPr>
              <w:t>Cantidad</w:t>
            </w:r>
          </w:p>
        </w:tc>
      </w:tr>
      <w:tr>
        <w:trPr>
          <w:trHeight w:val="5616" w:hRule="atLeast"/>
        </w:trPr>
        <w:tc>
          <w:tcPr>
            <w:tcW w:w="749" w:type="dxa"/>
          </w:tcPr>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spacing w:before="5"/>
              <w:rPr>
                <w:rFonts w:ascii="Microsoft Tai Le"/>
                <w:b/>
                <w:sz w:val="33"/>
              </w:rPr>
            </w:pPr>
          </w:p>
          <w:p>
            <w:pPr>
              <w:pStyle w:val="TableParagraph"/>
              <w:ind w:right="130"/>
              <w:jc w:val="right"/>
              <w:rPr>
                <w:sz w:val="22"/>
              </w:rPr>
            </w:pPr>
            <w:r>
              <w:rPr>
                <w:sz w:val="22"/>
              </w:rPr>
              <w:t>Única</w:t>
            </w:r>
          </w:p>
        </w:tc>
        <w:tc>
          <w:tcPr>
            <w:tcW w:w="6832" w:type="dxa"/>
          </w:tcPr>
          <w:p>
            <w:pPr>
              <w:pStyle w:val="TableParagraph"/>
              <w:spacing w:line="278" w:lineRule="auto"/>
              <w:ind w:left="247" w:right="241"/>
              <w:jc w:val="center"/>
              <w:rPr>
                <w:rFonts w:ascii="Microsoft Tai Le" w:hAnsi="Microsoft Tai Le"/>
                <w:b/>
                <w:sz w:val="20"/>
              </w:rPr>
            </w:pPr>
            <w:r>
              <w:rPr>
                <w:rFonts w:ascii="Microsoft Tai Le" w:hAnsi="Microsoft Tai Le"/>
                <w:b/>
                <w:sz w:val="20"/>
              </w:rPr>
              <w:t>Servicio de alquiler de Torres de Iluminación para la VI Edición del Medio Maraton Tlajomulco Mazapan de la Rosa 2019</w:t>
            </w:r>
          </w:p>
          <w:p>
            <w:pPr>
              <w:pStyle w:val="TableParagraph"/>
              <w:spacing w:before="197"/>
              <w:ind w:left="249" w:right="241"/>
              <w:jc w:val="center"/>
              <w:rPr>
                <w:rFonts w:ascii="Century Gothic" w:hAnsi="Century Gothic"/>
                <w:b/>
                <w:sz w:val="20"/>
              </w:rPr>
            </w:pPr>
            <w:r>
              <w:rPr>
                <w:rFonts w:ascii="Century Gothic" w:hAnsi="Century Gothic"/>
                <w:b/>
                <w:sz w:val="20"/>
                <w:u w:val="single"/>
              </w:rPr>
              <w:t>TORRETA DE ILUMINACIÓN 6 KW / 5000 WATT, CON LAS SIGUIENTES</w:t>
            </w:r>
            <w:r>
              <w:rPr>
                <w:rFonts w:ascii="Century Gothic" w:hAnsi="Century Gothic"/>
                <w:b/>
                <w:sz w:val="20"/>
              </w:rPr>
              <w:t> </w:t>
            </w:r>
            <w:r>
              <w:rPr>
                <w:rFonts w:ascii="Century Gothic" w:hAnsi="Century Gothic"/>
                <w:b/>
                <w:sz w:val="20"/>
                <w:u w:val="single"/>
              </w:rPr>
              <w:t>CARACTERÍSTICAS:</w:t>
            </w:r>
          </w:p>
          <w:p>
            <w:pPr>
              <w:pStyle w:val="TableParagraph"/>
              <w:numPr>
                <w:ilvl w:val="0"/>
                <w:numId w:val="1"/>
              </w:numPr>
              <w:tabs>
                <w:tab w:pos="789" w:val="left" w:leader="none"/>
                <w:tab w:pos="790" w:val="left" w:leader="none"/>
              </w:tabs>
              <w:spacing w:line="286" w:lineRule="exact" w:before="70" w:after="0"/>
              <w:ind w:left="789" w:right="0" w:hanging="361"/>
              <w:jc w:val="left"/>
              <w:rPr>
                <w:sz w:val="18"/>
              </w:rPr>
            </w:pPr>
            <w:r>
              <w:rPr>
                <w:sz w:val="18"/>
              </w:rPr>
              <w:t>Tipo de Motor</w:t>
            </w:r>
            <w:r>
              <w:rPr>
                <w:spacing w:val="-2"/>
                <w:sz w:val="18"/>
              </w:rPr>
              <w:t> </w:t>
            </w:r>
            <w:r>
              <w:rPr>
                <w:sz w:val="18"/>
              </w:rPr>
              <w:t>LDW1003</w:t>
            </w:r>
          </w:p>
          <w:p>
            <w:pPr>
              <w:pStyle w:val="TableParagraph"/>
              <w:numPr>
                <w:ilvl w:val="0"/>
                <w:numId w:val="1"/>
              </w:numPr>
              <w:tabs>
                <w:tab w:pos="789" w:val="left" w:leader="none"/>
                <w:tab w:pos="790" w:val="left" w:leader="none"/>
              </w:tabs>
              <w:spacing w:line="280" w:lineRule="exact" w:before="0" w:after="0"/>
              <w:ind w:left="789" w:right="0" w:hanging="361"/>
              <w:jc w:val="left"/>
              <w:rPr>
                <w:sz w:val="18"/>
              </w:rPr>
            </w:pPr>
            <w:r>
              <w:rPr>
                <w:sz w:val="18"/>
              </w:rPr>
              <w:t>Tipo de Alternador</w:t>
            </w:r>
            <w:r>
              <w:rPr>
                <w:spacing w:val="-5"/>
                <w:sz w:val="18"/>
              </w:rPr>
              <w:t> </w:t>
            </w:r>
            <w:r>
              <w:rPr>
                <w:sz w:val="18"/>
              </w:rPr>
              <w:t>LT3-130-4</w:t>
            </w:r>
          </w:p>
          <w:p>
            <w:pPr>
              <w:pStyle w:val="TableParagraph"/>
              <w:numPr>
                <w:ilvl w:val="0"/>
                <w:numId w:val="1"/>
              </w:numPr>
              <w:tabs>
                <w:tab w:pos="789" w:val="left" w:leader="none"/>
                <w:tab w:pos="790" w:val="left" w:leader="none"/>
              </w:tabs>
              <w:spacing w:line="280" w:lineRule="exact" w:before="0" w:after="0"/>
              <w:ind w:left="789" w:right="0" w:hanging="361"/>
              <w:jc w:val="left"/>
              <w:rPr>
                <w:sz w:val="18"/>
              </w:rPr>
            </w:pPr>
            <w:r>
              <w:rPr>
                <w:sz w:val="18"/>
              </w:rPr>
              <w:t>Tipo de Capotaje</w:t>
            </w:r>
            <w:r>
              <w:rPr>
                <w:spacing w:val="-8"/>
                <w:sz w:val="18"/>
              </w:rPr>
              <w:t> </w:t>
            </w:r>
            <w:r>
              <w:rPr>
                <w:sz w:val="18"/>
              </w:rPr>
              <w:t>ONE-BODY.</w:t>
            </w:r>
          </w:p>
          <w:p>
            <w:pPr>
              <w:pStyle w:val="TableParagraph"/>
              <w:numPr>
                <w:ilvl w:val="0"/>
                <w:numId w:val="1"/>
              </w:numPr>
              <w:tabs>
                <w:tab w:pos="789" w:val="left" w:leader="none"/>
                <w:tab w:pos="790" w:val="left" w:leader="none"/>
              </w:tabs>
              <w:spacing w:line="286" w:lineRule="exact" w:before="0" w:after="0"/>
              <w:ind w:left="789" w:right="0" w:hanging="361"/>
              <w:jc w:val="left"/>
              <w:rPr>
                <w:sz w:val="18"/>
              </w:rPr>
            </w:pPr>
            <w:r>
              <w:rPr>
                <w:sz w:val="18"/>
              </w:rPr>
              <w:t>Mástil telescópico de 9</w:t>
            </w:r>
            <w:r>
              <w:rPr>
                <w:spacing w:val="-9"/>
                <w:sz w:val="18"/>
              </w:rPr>
              <w:t> </w:t>
            </w:r>
            <w:r>
              <w:rPr>
                <w:sz w:val="18"/>
              </w:rPr>
              <w:t>metros</w:t>
            </w:r>
          </w:p>
          <w:p>
            <w:pPr>
              <w:pStyle w:val="TableParagraph"/>
              <w:numPr>
                <w:ilvl w:val="0"/>
                <w:numId w:val="1"/>
              </w:numPr>
              <w:tabs>
                <w:tab w:pos="789" w:val="left" w:leader="none"/>
                <w:tab w:pos="790" w:val="left" w:leader="none"/>
              </w:tabs>
              <w:spacing w:line="240" w:lineRule="auto" w:before="3" w:after="0"/>
              <w:ind w:left="789" w:right="0" w:hanging="361"/>
              <w:jc w:val="left"/>
              <w:rPr>
                <w:sz w:val="18"/>
              </w:rPr>
            </w:pPr>
            <w:r>
              <w:rPr>
                <w:sz w:val="18"/>
              </w:rPr>
              <w:t>Pasaje de horcas y anillo central de</w:t>
            </w:r>
            <w:r>
              <w:rPr>
                <w:spacing w:val="-8"/>
                <w:sz w:val="18"/>
              </w:rPr>
              <w:t> </w:t>
            </w:r>
            <w:r>
              <w:rPr>
                <w:sz w:val="18"/>
              </w:rPr>
              <w:t>elevación</w:t>
            </w:r>
          </w:p>
          <w:p>
            <w:pPr>
              <w:pStyle w:val="TableParagraph"/>
              <w:numPr>
                <w:ilvl w:val="0"/>
                <w:numId w:val="1"/>
              </w:numPr>
              <w:tabs>
                <w:tab w:pos="789" w:val="left" w:leader="none"/>
                <w:tab w:pos="790" w:val="left" w:leader="none"/>
              </w:tabs>
              <w:spacing w:line="240" w:lineRule="auto" w:before="4" w:after="0"/>
              <w:ind w:left="789" w:right="0" w:hanging="361"/>
              <w:jc w:val="left"/>
              <w:rPr>
                <w:sz w:val="18"/>
              </w:rPr>
            </w:pPr>
            <w:r>
              <w:rPr>
                <w:sz w:val="18"/>
              </w:rPr>
              <w:t>Muletas estabilizadoras regulables y</w:t>
            </w:r>
            <w:r>
              <w:rPr>
                <w:spacing w:val="-2"/>
                <w:sz w:val="18"/>
              </w:rPr>
              <w:t> </w:t>
            </w:r>
            <w:r>
              <w:rPr>
                <w:sz w:val="18"/>
              </w:rPr>
              <w:t>escamoteables</w:t>
            </w:r>
          </w:p>
          <w:p>
            <w:pPr>
              <w:pStyle w:val="TableParagraph"/>
              <w:numPr>
                <w:ilvl w:val="0"/>
                <w:numId w:val="1"/>
              </w:numPr>
              <w:tabs>
                <w:tab w:pos="789" w:val="left" w:leader="none"/>
                <w:tab w:pos="790" w:val="left" w:leader="none"/>
              </w:tabs>
              <w:spacing w:line="240" w:lineRule="auto" w:before="6" w:after="0"/>
              <w:ind w:left="789" w:right="0" w:hanging="361"/>
              <w:jc w:val="left"/>
              <w:rPr>
                <w:sz w:val="18"/>
              </w:rPr>
            </w:pPr>
            <w:r>
              <w:rPr>
                <w:sz w:val="18"/>
              </w:rPr>
              <w:t>Protección diferencial y poste de toma de</w:t>
            </w:r>
            <w:r>
              <w:rPr>
                <w:spacing w:val="-7"/>
                <w:sz w:val="18"/>
              </w:rPr>
              <w:t> </w:t>
            </w:r>
            <w:r>
              <w:rPr>
                <w:sz w:val="18"/>
              </w:rPr>
              <w:t>tierra</w:t>
            </w:r>
          </w:p>
          <w:p>
            <w:pPr>
              <w:pStyle w:val="TableParagraph"/>
              <w:numPr>
                <w:ilvl w:val="0"/>
                <w:numId w:val="1"/>
              </w:numPr>
              <w:tabs>
                <w:tab w:pos="789" w:val="left" w:leader="none"/>
                <w:tab w:pos="790" w:val="left" w:leader="none"/>
              </w:tabs>
              <w:spacing w:line="240" w:lineRule="auto" w:before="4" w:after="0"/>
              <w:ind w:left="789" w:right="0" w:hanging="361"/>
              <w:jc w:val="left"/>
              <w:rPr>
                <w:sz w:val="18"/>
              </w:rPr>
            </w:pPr>
            <w:r>
              <w:rPr>
                <w:sz w:val="18"/>
              </w:rPr>
              <w:t>#Prise auxiliaire</w:t>
            </w:r>
            <w:r>
              <w:rPr>
                <w:spacing w:val="-3"/>
                <w:sz w:val="18"/>
              </w:rPr>
              <w:t> </w:t>
            </w:r>
            <w:r>
              <w:rPr>
                <w:sz w:val="18"/>
              </w:rPr>
              <w:t>230V-16A</w:t>
            </w:r>
          </w:p>
          <w:p>
            <w:pPr>
              <w:pStyle w:val="TableParagraph"/>
              <w:ind w:left="69"/>
              <w:rPr>
                <w:b/>
                <w:sz w:val="20"/>
              </w:rPr>
            </w:pPr>
            <w:r>
              <w:rPr>
                <w:b/>
                <w:sz w:val="20"/>
              </w:rPr>
              <w:t>Proyector:</w:t>
            </w:r>
          </w:p>
          <w:p>
            <w:pPr>
              <w:pStyle w:val="TableParagraph"/>
              <w:numPr>
                <w:ilvl w:val="0"/>
                <w:numId w:val="1"/>
              </w:numPr>
              <w:tabs>
                <w:tab w:pos="789" w:val="left" w:leader="none"/>
                <w:tab w:pos="790" w:val="left" w:leader="none"/>
              </w:tabs>
              <w:spacing w:line="240" w:lineRule="auto" w:before="24" w:after="0"/>
              <w:ind w:left="789" w:right="0" w:hanging="361"/>
              <w:jc w:val="left"/>
              <w:rPr>
                <w:sz w:val="18"/>
              </w:rPr>
            </w:pPr>
            <w:r>
              <w:rPr>
                <w:sz w:val="18"/>
              </w:rPr>
              <w:t>Numero de proyectores</w:t>
            </w:r>
            <w:r>
              <w:rPr>
                <w:spacing w:val="39"/>
                <w:sz w:val="18"/>
              </w:rPr>
              <w:t> </w:t>
            </w:r>
            <w:r>
              <w:rPr>
                <w:sz w:val="18"/>
              </w:rPr>
              <w:t>4</w:t>
            </w:r>
          </w:p>
          <w:p>
            <w:pPr>
              <w:pStyle w:val="TableParagraph"/>
              <w:numPr>
                <w:ilvl w:val="0"/>
                <w:numId w:val="1"/>
              </w:numPr>
              <w:tabs>
                <w:tab w:pos="789" w:val="left" w:leader="none"/>
                <w:tab w:pos="790" w:val="left" w:leader="none"/>
              </w:tabs>
              <w:spacing w:line="240" w:lineRule="auto" w:before="3" w:after="0"/>
              <w:ind w:left="789" w:right="0" w:hanging="361"/>
              <w:jc w:val="left"/>
              <w:rPr>
                <w:sz w:val="18"/>
              </w:rPr>
            </w:pPr>
            <w:r>
              <w:rPr>
                <w:sz w:val="18"/>
              </w:rPr>
              <w:t>Tipo de proyector Ioduro metálico Ioduro</w:t>
            </w:r>
            <w:r>
              <w:rPr>
                <w:spacing w:val="-6"/>
                <w:sz w:val="18"/>
              </w:rPr>
              <w:t> </w:t>
            </w:r>
            <w:r>
              <w:rPr>
                <w:sz w:val="18"/>
              </w:rPr>
              <w:t>metálico</w:t>
            </w:r>
          </w:p>
          <w:p>
            <w:pPr>
              <w:pStyle w:val="TableParagraph"/>
              <w:numPr>
                <w:ilvl w:val="0"/>
                <w:numId w:val="1"/>
              </w:numPr>
              <w:tabs>
                <w:tab w:pos="789" w:val="left" w:leader="none"/>
                <w:tab w:pos="790" w:val="left" w:leader="none"/>
              </w:tabs>
              <w:spacing w:line="240" w:lineRule="auto" w:before="4" w:after="0"/>
              <w:ind w:left="789" w:right="0" w:hanging="361"/>
              <w:jc w:val="left"/>
              <w:rPr>
                <w:sz w:val="18"/>
              </w:rPr>
            </w:pPr>
            <w:r>
              <w:rPr>
                <w:sz w:val="18"/>
              </w:rPr>
              <w:t>Potencia total (We)</w:t>
            </w:r>
            <w:r>
              <w:rPr>
                <w:spacing w:val="-4"/>
                <w:sz w:val="18"/>
              </w:rPr>
              <w:t> </w:t>
            </w:r>
            <w:r>
              <w:rPr>
                <w:sz w:val="18"/>
              </w:rPr>
              <w:t>4000</w:t>
            </w:r>
          </w:p>
          <w:p>
            <w:pPr>
              <w:pStyle w:val="TableParagraph"/>
              <w:numPr>
                <w:ilvl w:val="0"/>
                <w:numId w:val="1"/>
              </w:numPr>
              <w:tabs>
                <w:tab w:pos="789" w:val="left" w:leader="none"/>
                <w:tab w:pos="790" w:val="left" w:leader="none"/>
              </w:tabs>
              <w:spacing w:line="240" w:lineRule="auto" w:before="3" w:after="0"/>
              <w:ind w:left="789" w:right="0" w:hanging="361"/>
              <w:jc w:val="left"/>
              <w:rPr>
                <w:sz w:val="18"/>
              </w:rPr>
            </w:pPr>
            <w:r>
              <w:rPr>
                <w:sz w:val="18"/>
              </w:rPr>
              <w:t>Luminosidad (lumens)</w:t>
            </w:r>
            <w:r>
              <w:rPr>
                <w:spacing w:val="-4"/>
                <w:sz w:val="18"/>
              </w:rPr>
              <w:t> </w:t>
            </w:r>
            <w:r>
              <w:rPr>
                <w:sz w:val="18"/>
              </w:rPr>
              <w:t>400000</w:t>
            </w:r>
          </w:p>
        </w:tc>
        <w:tc>
          <w:tcPr>
            <w:tcW w:w="966" w:type="dxa"/>
          </w:tcPr>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spacing w:before="5"/>
              <w:rPr>
                <w:rFonts w:ascii="Microsoft Tai Le"/>
                <w:b/>
                <w:sz w:val="33"/>
              </w:rPr>
            </w:pPr>
          </w:p>
          <w:p>
            <w:pPr>
              <w:pStyle w:val="TableParagraph"/>
              <w:ind w:left="191" w:right="183"/>
              <w:jc w:val="center"/>
              <w:rPr>
                <w:sz w:val="22"/>
              </w:rPr>
            </w:pPr>
            <w:r>
              <w:rPr>
                <w:sz w:val="22"/>
              </w:rPr>
              <w:t>Piezas</w:t>
            </w:r>
          </w:p>
        </w:tc>
        <w:tc>
          <w:tcPr>
            <w:tcW w:w="901" w:type="dxa"/>
          </w:tcPr>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spacing w:before="5"/>
              <w:rPr>
                <w:rFonts w:ascii="Microsoft Tai Le"/>
                <w:b/>
                <w:sz w:val="33"/>
              </w:rPr>
            </w:pPr>
          </w:p>
          <w:p>
            <w:pPr>
              <w:pStyle w:val="TableParagraph"/>
              <w:ind w:left="3"/>
              <w:jc w:val="center"/>
              <w:rPr>
                <w:sz w:val="22"/>
              </w:rPr>
            </w:pPr>
            <w:r>
              <w:rPr>
                <w:w w:val="100"/>
                <w:sz w:val="22"/>
              </w:rPr>
              <w:t>5</w:t>
            </w:r>
          </w:p>
        </w:tc>
      </w:tr>
    </w:tbl>
    <w:p>
      <w:pPr>
        <w:spacing w:after="0"/>
        <w:jc w:val="center"/>
        <w:rPr>
          <w:sz w:val="22"/>
        </w:rPr>
        <w:sectPr>
          <w:headerReference w:type="default" r:id="rId5"/>
          <w:footerReference w:type="default" r:id="rId6"/>
          <w:type w:val="continuous"/>
          <w:pgSz w:w="12240" w:h="15840"/>
          <w:pgMar w:header="312" w:footer="775" w:top="1320" w:bottom="960" w:left="1340" w:right="1080"/>
        </w:sectPr>
      </w:pPr>
    </w:p>
    <w:p>
      <w:pPr>
        <w:pStyle w:val="BodyText"/>
        <w:spacing w:before="3"/>
        <w:ind w:left="0"/>
        <w:jc w:val="left"/>
        <w:rPr>
          <w:b/>
          <w:sz w:val="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02" w:hRule="atLeast"/>
        </w:trPr>
        <w:tc>
          <w:tcPr>
            <w:tcW w:w="749" w:type="dxa"/>
          </w:tcPr>
          <w:p>
            <w:pPr>
              <w:pStyle w:val="TableParagraph"/>
              <w:rPr>
                <w:rFonts w:ascii="Times New Roman"/>
                <w:sz w:val="18"/>
              </w:rPr>
            </w:pPr>
          </w:p>
        </w:tc>
        <w:tc>
          <w:tcPr>
            <w:tcW w:w="6832" w:type="dxa"/>
          </w:tcPr>
          <w:p>
            <w:pPr>
              <w:pStyle w:val="TableParagraph"/>
              <w:spacing w:line="227" w:lineRule="exact"/>
              <w:ind w:left="69"/>
              <w:rPr>
                <w:b/>
                <w:sz w:val="20"/>
              </w:rPr>
            </w:pPr>
            <w:r>
              <w:rPr>
                <w:b/>
                <w:sz w:val="20"/>
              </w:rPr>
              <w:t>Características Generales:</w:t>
            </w:r>
          </w:p>
          <w:p>
            <w:pPr>
              <w:pStyle w:val="TableParagraph"/>
              <w:numPr>
                <w:ilvl w:val="0"/>
                <w:numId w:val="2"/>
              </w:numPr>
              <w:tabs>
                <w:tab w:pos="789" w:val="left" w:leader="none"/>
                <w:tab w:pos="790" w:val="left" w:leader="none"/>
              </w:tabs>
              <w:spacing w:line="286" w:lineRule="exact" w:before="22" w:after="0"/>
              <w:ind w:left="789" w:right="0" w:hanging="361"/>
              <w:jc w:val="left"/>
              <w:rPr>
                <w:sz w:val="18"/>
              </w:rPr>
            </w:pPr>
            <w:r>
              <w:rPr>
                <w:sz w:val="18"/>
              </w:rPr>
              <w:t>Frecuencia (Hz)</w:t>
            </w:r>
            <w:r>
              <w:rPr>
                <w:spacing w:val="-1"/>
                <w:sz w:val="18"/>
              </w:rPr>
              <w:t> </w:t>
            </w:r>
            <w:r>
              <w:rPr>
                <w:sz w:val="18"/>
              </w:rPr>
              <w:t>50</w:t>
            </w:r>
          </w:p>
          <w:p>
            <w:pPr>
              <w:pStyle w:val="TableParagraph"/>
              <w:numPr>
                <w:ilvl w:val="0"/>
                <w:numId w:val="2"/>
              </w:numPr>
              <w:tabs>
                <w:tab w:pos="789" w:val="left" w:leader="none"/>
                <w:tab w:pos="790" w:val="left" w:leader="none"/>
              </w:tabs>
              <w:spacing w:line="280" w:lineRule="exact" w:before="0" w:after="0"/>
              <w:ind w:left="789" w:right="0" w:hanging="361"/>
              <w:jc w:val="left"/>
              <w:rPr>
                <w:sz w:val="18"/>
              </w:rPr>
            </w:pPr>
            <w:r>
              <w:rPr>
                <w:sz w:val="18"/>
              </w:rPr>
              <w:t>Tensión de referencia (V) 230</w:t>
            </w:r>
            <w:r>
              <w:rPr>
                <w:spacing w:val="-5"/>
                <w:sz w:val="18"/>
              </w:rPr>
              <w:t> </w:t>
            </w:r>
            <w:r>
              <w:rPr>
                <w:sz w:val="18"/>
              </w:rPr>
              <w:t>mono</w:t>
            </w:r>
          </w:p>
          <w:p>
            <w:pPr>
              <w:pStyle w:val="TableParagraph"/>
              <w:numPr>
                <w:ilvl w:val="0"/>
                <w:numId w:val="2"/>
              </w:numPr>
              <w:tabs>
                <w:tab w:pos="789" w:val="left" w:leader="none"/>
                <w:tab w:pos="790" w:val="left" w:leader="none"/>
              </w:tabs>
              <w:spacing w:line="280" w:lineRule="exact" w:before="0" w:after="0"/>
              <w:ind w:left="789" w:right="0" w:hanging="361"/>
              <w:jc w:val="left"/>
              <w:rPr>
                <w:sz w:val="18"/>
              </w:rPr>
            </w:pPr>
            <w:r>
              <w:rPr>
                <w:sz w:val="18"/>
              </w:rPr>
              <w:t>Potencia max ESP (kVA)</w:t>
            </w:r>
            <w:r>
              <w:rPr>
                <w:spacing w:val="-9"/>
                <w:sz w:val="18"/>
              </w:rPr>
              <w:t> </w:t>
            </w:r>
            <w:r>
              <w:rPr>
                <w:sz w:val="18"/>
              </w:rPr>
              <w:t>6.6</w:t>
            </w:r>
          </w:p>
          <w:p>
            <w:pPr>
              <w:pStyle w:val="TableParagraph"/>
              <w:numPr>
                <w:ilvl w:val="0"/>
                <w:numId w:val="2"/>
              </w:numPr>
              <w:tabs>
                <w:tab w:pos="789" w:val="left" w:leader="none"/>
                <w:tab w:pos="790" w:val="left" w:leader="none"/>
              </w:tabs>
              <w:spacing w:line="278" w:lineRule="exact" w:before="0" w:after="0"/>
              <w:ind w:left="789" w:right="0" w:hanging="361"/>
              <w:jc w:val="left"/>
              <w:rPr>
                <w:sz w:val="18"/>
              </w:rPr>
            </w:pPr>
            <w:r>
              <w:rPr>
                <w:sz w:val="18"/>
              </w:rPr>
              <w:t>Potencia max ESP (kWe)</w:t>
            </w:r>
            <w:r>
              <w:rPr>
                <w:spacing w:val="-9"/>
                <w:sz w:val="18"/>
              </w:rPr>
              <w:t> </w:t>
            </w:r>
            <w:r>
              <w:rPr>
                <w:sz w:val="18"/>
              </w:rPr>
              <w:t>6.6</w:t>
            </w:r>
          </w:p>
          <w:p>
            <w:pPr>
              <w:pStyle w:val="TableParagraph"/>
              <w:numPr>
                <w:ilvl w:val="0"/>
                <w:numId w:val="2"/>
              </w:numPr>
              <w:tabs>
                <w:tab w:pos="789" w:val="left" w:leader="none"/>
                <w:tab w:pos="790" w:val="left" w:leader="none"/>
              </w:tabs>
              <w:spacing w:line="280" w:lineRule="exact" w:before="0" w:after="0"/>
              <w:ind w:left="789" w:right="0" w:hanging="361"/>
              <w:jc w:val="left"/>
              <w:rPr>
                <w:sz w:val="18"/>
              </w:rPr>
            </w:pPr>
            <w:r>
              <w:rPr>
                <w:sz w:val="18"/>
              </w:rPr>
              <w:t>Potencia max PRP (kVA)</w:t>
            </w:r>
            <w:r>
              <w:rPr>
                <w:spacing w:val="-10"/>
                <w:sz w:val="18"/>
              </w:rPr>
              <w:t> </w:t>
            </w:r>
            <w:r>
              <w:rPr>
                <w:sz w:val="18"/>
              </w:rPr>
              <w:t>6</w:t>
            </w:r>
          </w:p>
          <w:p>
            <w:pPr>
              <w:pStyle w:val="TableParagraph"/>
              <w:numPr>
                <w:ilvl w:val="0"/>
                <w:numId w:val="2"/>
              </w:numPr>
              <w:tabs>
                <w:tab w:pos="789" w:val="left" w:leader="none"/>
                <w:tab w:pos="790" w:val="left" w:leader="none"/>
              </w:tabs>
              <w:spacing w:line="280" w:lineRule="exact" w:before="0" w:after="0"/>
              <w:ind w:left="789" w:right="0" w:hanging="361"/>
              <w:jc w:val="left"/>
              <w:rPr>
                <w:sz w:val="18"/>
              </w:rPr>
            </w:pPr>
            <w:r>
              <w:rPr>
                <w:sz w:val="18"/>
              </w:rPr>
              <w:t>Potencia max PRP (kWe)</w:t>
            </w:r>
            <w:r>
              <w:rPr>
                <w:spacing w:val="-9"/>
                <w:sz w:val="18"/>
              </w:rPr>
              <w:t> </w:t>
            </w:r>
            <w:r>
              <w:rPr>
                <w:sz w:val="18"/>
              </w:rPr>
              <w:t>6</w:t>
            </w:r>
          </w:p>
          <w:p>
            <w:pPr>
              <w:pStyle w:val="TableParagraph"/>
              <w:numPr>
                <w:ilvl w:val="0"/>
                <w:numId w:val="2"/>
              </w:numPr>
              <w:tabs>
                <w:tab w:pos="789" w:val="left" w:leader="none"/>
                <w:tab w:pos="790" w:val="left" w:leader="none"/>
              </w:tabs>
              <w:spacing w:line="278" w:lineRule="exact" w:before="0" w:after="0"/>
              <w:ind w:left="789" w:right="0" w:hanging="361"/>
              <w:jc w:val="left"/>
              <w:rPr>
                <w:sz w:val="18"/>
              </w:rPr>
            </w:pPr>
            <w:r>
              <w:rPr>
                <w:sz w:val="18"/>
              </w:rPr>
              <w:t>Intensidad (A)</w:t>
            </w:r>
            <w:r>
              <w:rPr>
                <w:spacing w:val="-4"/>
                <w:sz w:val="18"/>
              </w:rPr>
              <w:t> </w:t>
            </w:r>
            <w:r>
              <w:rPr>
                <w:sz w:val="18"/>
              </w:rPr>
              <w:t>29</w:t>
            </w:r>
          </w:p>
          <w:p>
            <w:pPr>
              <w:pStyle w:val="TableParagraph"/>
              <w:numPr>
                <w:ilvl w:val="0"/>
                <w:numId w:val="2"/>
              </w:numPr>
              <w:tabs>
                <w:tab w:pos="789" w:val="left" w:leader="none"/>
                <w:tab w:pos="790" w:val="left" w:leader="none"/>
              </w:tabs>
              <w:spacing w:line="286" w:lineRule="exact" w:before="0" w:after="0"/>
              <w:ind w:left="789" w:right="0" w:hanging="361"/>
              <w:jc w:val="left"/>
              <w:rPr>
                <w:sz w:val="18"/>
              </w:rPr>
            </w:pPr>
            <w:r>
              <w:rPr>
                <w:sz w:val="18"/>
              </w:rPr>
              <w:t>Caja Estándar</w:t>
            </w:r>
            <w:r>
              <w:rPr>
                <w:spacing w:val="-4"/>
                <w:sz w:val="18"/>
              </w:rPr>
              <w:t> </w:t>
            </w:r>
            <w:r>
              <w:rPr>
                <w:sz w:val="18"/>
              </w:rPr>
              <w:t>MODY</w:t>
            </w:r>
          </w:p>
        </w:tc>
        <w:tc>
          <w:tcPr>
            <w:tcW w:w="966" w:type="dxa"/>
          </w:tcPr>
          <w:p>
            <w:pPr>
              <w:pStyle w:val="TableParagraph"/>
              <w:rPr>
                <w:rFonts w:ascii="Times New Roman"/>
                <w:sz w:val="18"/>
              </w:rPr>
            </w:pPr>
          </w:p>
        </w:tc>
        <w:tc>
          <w:tcPr>
            <w:tcW w:w="901" w:type="dxa"/>
          </w:tcPr>
          <w:p>
            <w:pPr>
              <w:pStyle w:val="TableParagraph"/>
              <w:rPr>
                <w:rFonts w:ascii="Times New Roman"/>
                <w:sz w:val="18"/>
              </w:rPr>
            </w:pPr>
          </w:p>
        </w:tc>
      </w:tr>
      <w:tr>
        <w:trPr>
          <w:trHeight w:val="2947" w:hRule="atLeast"/>
        </w:trPr>
        <w:tc>
          <w:tcPr>
            <w:tcW w:w="749" w:type="dxa"/>
          </w:tcPr>
          <w:p>
            <w:pPr>
              <w:pStyle w:val="TableParagraph"/>
              <w:rPr>
                <w:rFonts w:ascii="Times New Roman"/>
                <w:sz w:val="18"/>
              </w:rPr>
            </w:pPr>
          </w:p>
        </w:tc>
        <w:tc>
          <w:tcPr>
            <w:tcW w:w="6832" w:type="dxa"/>
          </w:tcPr>
          <w:p>
            <w:pPr>
              <w:pStyle w:val="TableParagraph"/>
              <w:spacing w:line="248" w:lineRule="exact"/>
              <w:ind w:left="3127"/>
              <w:rPr>
                <w:b/>
                <w:sz w:val="22"/>
              </w:rPr>
            </w:pPr>
            <w:r>
              <w:rPr>
                <w:b/>
                <w:sz w:val="22"/>
              </w:rPr>
              <w:t>Observaciones</w:t>
            </w:r>
          </w:p>
          <w:p>
            <w:pPr>
              <w:pStyle w:val="TableParagraph"/>
              <w:numPr>
                <w:ilvl w:val="0"/>
                <w:numId w:val="3"/>
              </w:numPr>
              <w:tabs>
                <w:tab w:pos="789" w:val="left" w:leader="none"/>
                <w:tab w:pos="790" w:val="left" w:leader="none"/>
              </w:tabs>
              <w:spacing w:line="271" w:lineRule="auto" w:before="38" w:after="0"/>
              <w:ind w:left="789" w:right="306" w:hanging="360"/>
              <w:jc w:val="left"/>
              <w:rPr>
                <w:sz w:val="20"/>
              </w:rPr>
            </w:pPr>
            <w:r>
              <w:rPr>
                <w:sz w:val="20"/>
              </w:rPr>
              <w:t>El</w:t>
            </w:r>
            <w:r>
              <w:rPr>
                <w:spacing w:val="-5"/>
                <w:sz w:val="20"/>
              </w:rPr>
              <w:t> </w:t>
            </w:r>
            <w:r>
              <w:rPr>
                <w:sz w:val="20"/>
              </w:rPr>
              <w:t>Licitante</w:t>
            </w:r>
            <w:r>
              <w:rPr>
                <w:spacing w:val="-3"/>
                <w:sz w:val="20"/>
              </w:rPr>
              <w:t> </w:t>
            </w:r>
            <w:r>
              <w:rPr>
                <w:sz w:val="20"/>
              </w:rPr>
              <w:t>deberá</w:t>
            </w:r>
            <w:r>
              <w:rPr>
                <w:spacing w:val="-4"/>
                <w:sz w:val="20"/>
              </w:rPr>
              <w:t> </w:t>
            </w:r>
            <w:r>
              <w:rPr>
                <w:sz w:val="20"/>
              </w:rPr>
              <w:t>incluir</w:t>
            </w:r>
            <w:r>
              <w:rPr>
                <w:spacing w:val="-3"/>
                <w:sz w:val="20"/>
              </w:rPr>
              <w:t> </w:t>
            </w:r>
            <w:r>
              <w:rPr>
                <w:sz w:val="20"/>
              </w:rPr>
              <w:t>todo</w:t>
            </w:r>
            <w:r>
              <w:rPr>
                <w:spacing w:val="-3"/>
                <w:sz w:val="20"/>
              </w:rPr>
              <w:t> </w:t>
            </w:r>
            <w:r>
              <w:rPr>
                <w:sz w:val="20"/>
              </w:rPr>
              <w:t>lo</w:t>
            </w:r>
            <w:r>
              <w:rPr>
                <w:spacing w:val="1"/>
                <w:sz w:val="20"/>
              </w:rPr>
              <w:t> </w:t>
            </w:r>
            <w:r>
              <w:rPr>
                <w:sz w:val="20"/>
              </w:rPr>
              <w:t>necesario</w:t>
            </w:r>
            <w:r>
              <w:rPr>
                <w:spacing w:val="-4"/>
                <w:sz w:val="20"/>
              </w:rPr>
              <w:t> </w:t>
            </w:r>
            <w:r>
              <w:rPr>
                <w:sz w:val="20"/>
              </w:rPr>
              <w:t>para</w:t>
            </w:r>
            <w:r>
              <w:rPr>
                <w:spacing w:val="-4"/>
                <w:sz w:val="20"/>
              </w:rPr>
              <w:t> </w:t>
            </w:r>
            <w:r>
              <w:rPr>
                <w:sz w:val="20"/>
              </w:rPr>
              <w:t>el</w:t>
            </w:r>
            <w:r>
              <w:rPr>
                <w:spacing w:val="-4"/>
                <w:sz w:val="20"/>
              </w:rPr>
              <w:t> </w:t>
            </w:r>
            <w:r>
              <w:rPr>
                <w:sz w:val="20"/>
              </w:rPr>
              <w:t>montaje</w:t>
            </w:r>
            <w:r>
              <w:rPr>
                <w:spacing w:val="-3"/>
                <w:sz w:val="20"/>
              </w:rPr>
              <w:t> </w:t>
            </w:r>
            <w:r>
              <w:rPr>
                <w:sz w:val="20"/>
              </w:rPr>
              <w:t>y</w:t>
            </w:r>
            <w:r>
              <w:rPr>
                <w:spacing w:val="-4"/>
                <w:sz w:val="20"/>
              </w:rPr>
              <w:t> </w:t>
            </w:r>
            <w:r>
              <w:rPr>
                <w:sz w:val="20"/>
              </w:rPr>
              <w:t>desmontaje</w:t>
            </w:r>
            <w:r>
              <w:rPr>
                <w:spacing w:val="-4"/>
                <w:sz w:val="20"/>
              </w:rPr>
              <w:t> </w:t>
            </w:r>
            <w:r>
              <w:rPr>
                <w:sz w:val="20"/>
              </w:rPr>
              <w:t>de</w:t>
            </w:r>
            <w:r>
              <w:rPr>
                <w:spacing w:val="-3"/>
                <w:sz w:val="20"/>
              </w:rPr>
              <w:t> </w:t>
            </w:r>
            <w:r>
              <w:rPr>
                <w:sz w:val="20"/>
              </w:rPr>
              <w:t>lo solicitado.</w:t>
            </w:r>
          </w:p>
          <w:p>
            <w:pPr>
              <w:pStyle w:val="TableParagraph"/>
              <w:numPr>
                <w:ilvl w:val="0"/>
                <w:numId w:val="3"/>
              </w:numPr>
              <w:tabs>
                <w:tab w:pos="789" w:val="left" w:leader="none"/>
                <w:tab w:pos="790" w:val="left" w:leader="none"/>
              </w:tabs>
              <w:spacing w:line="268" w:lineRule="auto" w:before="7" w:after="0"/>
              <w:ind w:left="789" w:right="88" w:hanging="360"/>
              <w:jc w:val="left"/>
              <w:rPr>
                <w:sz w:val="20"/>
              </w:rPr>
            </w:pPr>
            <w:r>
              <w:rPr>
                <w:sz w:val="20"/>
              </w:rPr>
              <w:t>Deberá incluir traslados, operatividad y mantenimiento de cada equipo durante el evento.</w:t>
            </w:r>
          </w:p>
          <w:p>
            <w:pPr>
              <w:pStyle w:val="TableParagraph"/>
              <w:numPr>
                <w:ilvl w:val="0"/>
                <w:numId w:val="3"/>
              </w:numPr>
              <w:tabs>
                <w:tab w:pos="789" w:val="left" w:leader="none"/>
                <w:tab w:pos="790" w:val="left" w:leader="none"/>
              </w:tabs>
              <w:spacing w:line="271" w:lineRule="auto" w:before="8" w:after="0"/>
              <w:ind w:left="789" w:right="449" w:hanging="360"/>
              <w:jc w:val="left"/>
              <w:rPr>
                <w:sz w:val="20"/>
              </w:rPr>
            </w:pPr>
            <w:r>
              <w:rPr>
                <w:sz w:val="20"/>
              </w:rPr>
              <w:t>Deberá</w:t>
            </w:r>
            <w:r>
              <w:rPr>
                <w:spacing w:val="-6"/>
                <w:sz w:val="20"/>
              </w:rPr>
              <w:t> </w:t>
            </w:r>
            <w:r>
              <w:rPr>
                <w:sz w:val="20"/>
              </w:rPr>
              <w:t>incluir</w:t>
            </w:r>
            <w:r>
              <w:rPr>
                <w:spacing w:val="-4"/>
                <w:sz w:val="20"/>
              </w:rPr>
              <w:t> </w:t>
            </w:r>
            <w:r>
              <w:rPr>
                <w:sz w:val="20"/>
              </w:rPr>
              <w:t>personal</w:t>
            </w:r>
            <w:r>
              <w:rPr>
                <w:spacing w:val="-6"/>
                <w:sz w:val="20"/>
              </w:rPr>
              <w:t> </w:t>
            </w:r>
            <w:r>
              <w:rPr>
                <w:sz w:val="20"/>
              </w:rPr>
              <w:t>técnico</w:t>
            </w:r>
            <w:r>
              <w:rPr>
                <w:spacing w:val="-5"/>
                <w:sz w:val="20"/>
              </w:rPr>
              <w:t> </w:t>
            </w:r>
            <w:r>
              <w:rPr>
                <w:sz w:val="20"/>
              </w:rPr>
              <w:t>para</w:t>
            </w:r>
            <w:r>
              <w:rPr>
                <w:spacing w:val="-5"/>
                <w:sz w:val="20"/>
              </w:rPr>
              <w:t> </w:t>
            </w:r>
            <w:r>
              <w:rPr>
                <w:sz w:val="20"/>
              </w:rPr>
              <w:t>la</w:t>
            </w:r>
            <w:r>
              <w:rPr>
                <w:spacing w:val="-5"/>
                <w:sz w:val="20"/>
              </w:rPr>
              <w:t> </w:t>
            </w:r>
            <w:r>
              <w:rPr>
                <w:sz w:val="20"/>
              </w:rPr>
              <w:t>instalación</w:t>
            </w:r>
            <w:r>
              <w:rPr>
                <w:spacing w:val="-4"/>
                <w:sz w:val="20"/>
              </w:rPr>
              <w:t> </w:t>
            </w:r>
            <w:r>
              <w:rPr>
                <w:sz w:val="20"/>
              </w:rPr>
              <w:t>de</w:t>
            </w:r>
            <w:r>
              <w:rPr>
                <w:spacing w:val="-4"/>
                <w:sz w:val="20"/>
              </w:rPr>
              <w:t> </w:t>
            </w:r>
            <w:r>
              <w:rPr>
                <w:sz w:val="20"/>
              </w:rPr>
              <w:t>las</w:t>
            </w:r>
            <w:r>
              <w:rPr>
                <w:spacing w:val="-6"/>
                <w:sz w:val="20"/>
              </w:rPr>
              <w:t> </w:t>
            </w:r>
            <w:r>
              <w:rPr>
                <w:sz w:val="20"/>
              </w:rPr>
              <w:t>Luminarias,</w:t>
            </w:r>
            <w:r>
              <w:rPr>
                <w:spacing w:val="-4"/>
                <w:sz w:val="20"/>
              </w:rPr>
              <w:t> </w:t>
            </w:r>
            <w:r>
              <w:rPr>
                <w:sz w:val="20"/>
              </w:rPr>
              <w:t>para</w:t>
            </w:r>
            <w:r>
              <w:rPr>
                <w:spacing w:val="-6"/>
                <w:sz w:val="20"/>
              </w:rPr>
              <w:t> </w:t>
            </w:r>
            <w:r>
              <w:rPr>
                <w:sz w:val="20"/>
              </w:rPr>
              <w:t>su buen</w:t>
            </w:r>
            <w:r>
              <w:rPr>
                <w:spacing w:val="-1"/>
                <w:sz w:val="20"/>
              </w:rPr>
              <w:t> </w:t>
            </w:r>
            <w:r>
              <w:rPr>
                <w:sz w:val="20"/>
              </w:rPr>
              <w:t>funcionamiento.</w:t>
            </w:r>
          </w:p>
          <w:p>
            <w:pPr>
              <w:pStyle w:val="TableParagraph"/>
              <w:numPr>
                <w:ilvl w:val="0"/>
                <w:numId w:val="3"/>
              </w:numPr>
              <w:tabs>
                <w:tab w:pos="789" w:val="left" w:leader="none"/>
                <w:tab w:pos="790" w:val="left" w:leader="none"/>
              </w:tabs>
              <w:spacing w:line="268" w:lineRule="auto" w:before="6" w:after="0"/>
              <w:ind w:left="789" w:right="186" w:hanging="360"/>
              <w:jc w:val="left"/>
              <w:rPr>
                <w:sz w:val="20"/>
              </w:rPr>
            </w:pPr>
            <w:r>
              <w:rPr>
                <w:sz w:val="20"/>
              </w:rPr>
              <w:t>Lugar de Entrega: Malecón de Cuexcomatitlan, Jal. El sábado 21 de Septiembre a</w:t>
            </w:r>
            <w:r>
              <w:rPr>
                <w:spacing w:val="-4"/>
                <w:sz w:val="20"/>
              </w:rPr>
              <w:t> </w:t>
            </w:r>
            <w:r>
              <w:rPr>
                <w:sz w:val="20"/>
              </w:rPr>
              <w:t>las</w:t>
            </w:r>
            <w:r>
              <w:rPr>
                <w:spacing w:val="-2"/>
                <w:sz w:val="20"/>
              </w:rPr>
              <w:t> </w:t>
            </w:r>
            <w:r>
              <w:rPr>
                <w:sz w:val="20"/>
              </w:rPr>
              <w:t>01:00</w:t>
            </w:r>
            <w:r>
              <w:rPr>
                <w:spacing w:val="-2"/>
                <w:sz w:val="20"/>
              </w:rPr>
              <w:t> </w:t>
            </w:r>
            <w:r>
              <w:rPr>
                <w:sz w:val="20"/>
              </w:rPr>
              <w:t>horas.</w:t>
            </w:r>
            <w:r>
              <w:rPr>
                <w:spacing w:val="-1"/>
                <w:sz w:val="20"/>
              </w:rPr>
              <w:t> </w:t>
            </w:r>
            <w:r>
              <w:rPr>
                <w:sz w:val="20"/>
              </w:rPr>
              <w:t>Y</w:t>
            </w:r>
            <w:r>
              <w:rPr>
                <w:spacing w:val="-4"/>
                <w:sz w:val="20"/>
              </w:rPr>
              <w:t> </w:t>
            </w:r>
            <w:r>
              <w:rPr>
                <w:sz w:val="20"/>
              </w:rPr>
              <w:t>se</w:t>
            </w:r>
            <w:r>
              <w:rPr>
                <w:spacing w:val="-2"/>
                <w:sz w:val="20"/>
              </w:rPr>
              <w:t> </w:t>
            </w:r>
            <w:r>
              <w:rPr>
                <w:sz w:val="20"/>
              </w:rPr>
              <w:t>recogen</w:t>
            </w:r>
            <w:r>
              <w:rPr>
                <w:spacing w:val="-3"/>
                <w:sz w:val="20"/>
              </w:rPr>
              <w:t> </w:t>
            </w:r>
            <w:r>
              <w:rPr>
                <w:sz w:val="20"/>
              </w:rPr>
              <w:t>a las</w:t>
            </w:r>
            <w:r>
              <w:rPr>
                <w:spacing w:val="-2"/>
                <w:sz w:val="20"/>
              </w:rPr>
              <w:t> </w:t>
            </w:r>
            <w:r>
              <w:rPr>
                <w:sz w:val="20"/>
              </w:rPr>
              <w:t>9:00</w:t>
            </w:r>
            <w:r>
              <w:rPr>
                <w:spacing w:val="-2"/>
                <w:sz w:val="20"/>
              </w:rPr>
              <w:t> </w:t>
            </w:r>
            <w:r>
              <w:rPr>
                <w:sz w:val="20"/>
              </w:rPr>
              <w:t>hrs</w:t>
            </w:r>
            <w:r>
              <w:rPr>
                <w:spacing w:val="-3"/>
                <w:sz w:val="20"/>
              </w:rPr>
              <w:t> </w:t>
            </w:r>
            <w:r>
              <w:rPr>
                <w:sz w:val="20"/>
              </w:rPr>
              <w:t>del</w:t>
            </w:r>
            <w:r>
              <w:rPr>
                <w:spacing w:val="-3"/>
                <w:sz w:val="20"/>
              </w:rPr>
              <w:t> </w:t>
            </w:r>
            <w:r>
              <w:rPr>
                <w:sz w:val="20"/>
              </w:rPr>
              <w:t>Domingo</w:t>
            </w:r>
            <w:r>
              <w:rPr>
                <w:spacing w:val="-1"/>
                <w:sz w:val="20"/>
              </w:rPr>
              <w:t> </w:t>
            </w:r>
            <w:r>
              <w:rPr>
                <w:sz w:val="20"/>
              </w:rPr>
              <w:t>22</w:t>
            </w:r>
            <w:r>
              <w:rPr>
                <w:spacing w:val="-2"/>
                <w:sz w:val="20"/>
              </w:rPr>
              <w:t> </w:t>
            </w:r>
            <w:r>
              <w:rPr>
                <w:sz w:val="20"/>
              </w:rPr>
              <w:t>del</w:t>
            </w:r>
            <w:r>
              <w:rPr>
                <w:spacing w:val="-1"/>
                <w:sz w:val="20"/>
              </w:rPr>
              <w:t> </w:t>
            </w:r>
            <w:r>
              <w:rPr>
                <w:sz w:val="20"/>
              </w:rPr>
              <w:t>mismo</w:t>
            </w:r>
            <w:r>
              <w:rPr>
                <w:spacing w:val="-2"/>
                <w:sz w:val="20"/>
              </w:rPr>
              <w:t> </w:t>
            </w:r>
            <w:r>
              <w:rPr>
                <w:sz w:val="20"/>
              </w:rPr>
              <w:t>mes.</w:t>
            </w:r>
          </w:p>
        </w:tc>
        <w:tc>
          <w:tcPr>
            <w:tcW w:w="966" w:type="dxa"/>
          </w:tcPr>
          <w:p>
            <w:pPr>
              <w:pStyle w:val="TableParagraph"/>
              <w:rPr>
                <w:rFonts w:ascii="Times New Roman"/>
                <w:sz w:val="18"/>
              </w:rPr>
            </w:pPr>
          </w:p>
        </w:tc>
        <w:tc>
          <w:tcPr>
            <w:tcW w:w="901" w:type="dxa"/>
          </w:tcPr>
          <w:p>
            <w:pPr>
              <w:pStyle w:val="TableParagraph"/>
              <w:rPr>
                <w:rFonts w:ascii="Times New Roman"/>
                <w:sz w:val="18"/>
              </w:rPr>
            </w:pPr>
          </w:p>
        </w:tc>
      </w:tr>
    </w:tbl>
    <w:p>
      <w:pPr>
        <w:pStyle w:val="BodyText"/>
        <w:spacing w:before="1"/>
        <w:ind w:left="0"/>
        <w:jc w:val="left"/>
        <w:rPr>
          <w:b/>
          <w:sz w:val="10"/>
        </w:rPr>
      </w:pPr>
    </w:p>
    <w:p>
      <w:pPr>
        <w:pStyle w:val="BodyText"/>
        <w:spacing w:line="276" w:lineRule="auto" w:before="99"/>
        <w:ind w:right="101"/>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203"/>
      </w:pPr>
      <w:r>
        <w:rPr/>
        <w:t>La compra de lo adjudicado no será mayor de acuerdo con el tope presupuestal del ejercicio en curso.</w:t>
      </w:r>
    </w:p>
    <w:p>
      <w:pPr>
        <w:pStyle w:val="BodyText"/>
        <w:spacing w:before="7"/>
        <w:ind w:left="0"/>
        <w:jc w:val="left"/>
        <w:rPr>
          <w:sz w:val="18"/>
        </w:rPr>
      </w:pPr>
    </w:p>
    <w:p>
      <w:pPr>
        <w:pStyle w:val="BodyText"/>
        <w:spacing w:line="278" w:lineRule="auto"/>
        <w:ind w:right="109" w:firstLine="55"/>
      </w:pPr>
      <w:r>
        <w:rPr/>
        <w:t>1.- Los invitamos a registrarse en nuestro Padrón de Proveedores, información al teléfono 32834400 ext. 3260</w:t>
      </w:r>
    </w:p>
    <w:p>
      <w:pPr>
        <w:pStyle w:val="BodyText"/>
        <w:spacing w:line="276" w:lineRule="auto" w:before="195"/>
        <w:ind w:right="10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2"/>
        </w:rPr>
        <w:t> </w:t>
      </w:r>
      <w:r>
        <w:rPr/>
        <w:t>checador.</w:t>
      </w:r>
    </w:p>
    <w:p>
      <w:pPr>
        <w:pStyle w:val="BodyText"/>
        <w:spacing w:line="276" w:lineRule="auto" w:before="200"/>
        <w:ind w:right="105"/>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9"/>
        <w:ind w:right="10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111"/>
      </w:pPr>
      <w:r>
        <w:rPr/>
        <w:t>5.- El precio del bien o servicio objeto de la presente invitación, deberá estar especificado en moneda nacional, desglosando el I.V.A.</w:t>
      </w:r>
    </w:p>
    <w:p>
      <w:pPr>
        <w:spacing w:after="0" w:line="278" w:lineRule="auto"/>
        <w:sectPr>
          <w:pgSz w:w="12240" w:h="15840"/>
          <w:pgMar w:header="312" w:footer="775" w:top="1320" w:bottom="960" w:left="1340" w:right="1080"/>
        </w:sectPr>
      </w:pPr>
    </w:p>
    <w:p>
      <w:pPr>
        <w:pStyle w:val="BodyText"/>
        <w:spacing w:line="278" w:lineRule="auto" w:before="89"/>
        <w:ind w:right="108" w:firstLine="55"/>
      </w:pPr>
      <w:r>
        <w:rPr/>
        <w:t>6.- Detallar claramente las especificaciones de lo ofertado, el tiempo de entrega en días naturales y la garantía con la que cuentan.</w:t>
      </w:r>
    </w:p>
    <w:p>
      <w:pPr>
        <w:pStyle w:val="BodyText"/>
        <w:spacing w:line="278" w:lineRule="auto" w:before="195"/>
        <w:ind w:right="106"/>
      </w:pPr>
      <w:r>
        <w:rPr/>
        <w:t>7.- Los conceptos y partidas de la cotización deberán ser en el mismo orden que se establezcan en la convocatoria. Así como en la factura de quien resulte adjudicado.</w:t>
      </w:r>
    </w:p>
    <w:p>
      <w:pPr>
        <w:pStyle w:val="BodyText"/>
        <w:spacing w:line="278" w:lineRule="auto" w:before="195"/>
        <w:ind w:right="10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98"/>
      </w:pPr>
      <w:r>
        <w:rPr/>
        <w:t>10.- En caso de obtener la adjudicación, se le notificará que los bienes o servicios objeto de la presente Licitación le podrán ser adjudicados de manera parcial o total.</w:t>
      </w:r>
    </w:p>
    <w:p>
      <w:pPr>
        <w:pStyle w:val="BodyText"/>
        <w:spacing w:line="276" w:lineRule="auto" w:before="200"/>
        <w:ind w:right="110"/>
      </w:pPr>
      <w:r>
        <w:rPr/>
        <w:t>11.- A manera de poder ser evaluada la propuesta, se DEBERÁ presentar ficha técnica, manuales, certificaciones y todos los documentos que comprueben la calidad ofertada.</w:t>
      </w:r>
    </w:p>
    <w:p>
      <w:pPr>
        <w:pStyle w:val="BodyText"/>
        <w:spacing w:line="276" w:lineRule="auto" w:before="200"/>
        <w:ind w:right="103"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4"/>
        <w:ind w:left="0"/>
        <w:jc w:val="left"/>
        <w:rPr>
          <w:sz w:val="30"/>
        </w:rPr>
      </w:pPr>
    </w:p>
    <w:p>
      <w:pPr>
        <w:pStyle w:val="BodyText"/>
        <w:spacing w:line="278" w:lineRule="auto"/>
        <w:ind w:right="106"/>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Tai Le">
    <w:altName w:val="Microsoft Tai Le"/>
    <w:charset w:val="0"/>
    <w:family w:val="swiss"/>
    <w:pitch w:val="variable"/>
  </w:font>
  <w:font w:name="Century Gothic">
    <w:altName w:val="Century Gothic"/>
    <w:charset w:val="0"/>
    <w:family w:val="swiss"/>
    <w:pitch w:val="variable"/>
  </w:font>
  <w:font w:name="Symbol">
    <w:altName w:val="Symbol"/>
    <w:charset w:val="2"/>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7878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7827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89" w:hanging="360"/>
      </w:pPr>
      <w:rPr>
        <w:rFonts w:hint="default" w:ascii="Symbol" w:hAnsi="Symbol" w:eastAsia="Symbol" w:cs="Symbol"/>
        <w:w w:val="99"/>
        <w:sz w:val="20"/>
        <w:szCs w:val="20"/>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100"/>
        <w:sz w:val="24"/>
        <w:szCs w:val="24"/>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abstractNum w:abstractNumId="0">
    <w:multiLevelType w:val="hybridMultilevel"/>
    <w:lvl w:ilvl="0">
      <w:start w:val="0"/>
      <w:numFmt w:val="bullet"/>
      <w:lvlText w:val=""/>
      <w:lvlJc w:val="left"/>
      <w:pPr>
        <w:ind w:left="789" w:hanging="360"/>
      </w:pPr>
      <w:rPr>
        <w:rFonts w:hint="default" w:ascii="Symbol" w:hAnsi="Symbol" w:eastAsia="Symbol" w:cs="Symbol"/>
        <w:w w:val="100"/>
        <w:sz w:val="24"/>
        <w:szCs w:val="24"/>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816" w:right="555"/>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2021-10-21T16:58:05Z</dcterms:created>
  <dcterms:modified xsi:type="dcterms:W3CDTF">2021-10-21T16:58:05Z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Office Word 2007</vt:lpwstr>
  </property>
  <property fmtid="{D5CDD505-2E9C-101B-9397-08002B2CF9AE}" pid="4" name="LastSaved">
    <vt:filetime>2021-10-21T00:00:00Z</vt:filetime>
  </property>
</Properties>
</file>